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61.png" ContentType="image/png"/>
  <Override PartName="/word/media/rId41.png" ContentType="image/png"/>
  <Override PartName="/word/media/rId37.png" ContentType="image/png"/>
  <Override PartName="/word/media/rId45.png" ContentType="image/png"/>
  <Override PartName="/word/media/rId53.png" ContentType="image/png"/>
  <Override PartName="/word/media/rId57.png" ContentType="image/png"/>
  <Override PartName="/word/media/rId4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77"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(d).</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(d).</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d).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(d).</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d).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(d).</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A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38" name="Picture"/>
            <a:graphic>
              <a:graphicData uri="http://schemas.openxmlformats.org/drawingml/2006/picture">
                <pic:pic>
                  <pic:nvPicPr>
                    <pic:cNvPr descr="../Output/Figures/SFig_GrowthRate_Photoperiod_PAR.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PhotoperiodPAR"/>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AR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2" name="Picture"/>
            <a:graphic>
              <a:graphicData uri="http://schemas.openxmlformats.org/drawingml/2006/picture">
                <pic:pic>
                  <pic:nvPicPr>
                    <pic:cNvPr descr="../Output/Figures/SFig_GrowthRate_Light_PA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LightPAR"/>
      <w:bookmarkEnd w:id="44"/>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anges of Phycobiliprotein to Chl a ratio (µg/µg) vs. cumulative diel PAR (µmol photons m−2d−1). Phycobiliprotein/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6" name="Picture"/>
            <a:graphic>
              <a:graphicData uri="http://schemas.openxmlformats.org/drawingml/2006/picture">
                <pic:pic>
                  <pic:nvPicPr>
                    <pic:cNvPr descr="../Output/Figures/SFig_PhycoChlaRatio.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PhycoChlaRatio"/>
      <w:bookmarkEnd w:id="48"/>
      <w:r>
        <w:t xml:space="preserve">Figure 7:</w:t>
      </w:r>
      <w:r>
        <w:t xml:space="preserve"> </w:t>
      </w:r>
      <w:r>
        <w:rPr>
          <w:bCs/>
          <w:b/>
        </w:rPr>
        <w:t xml:space="preserve">Changes of Phycobiliprotein to Chl</w:t>
      </w:r>
      <w:r>
        <w:rPr>
          <w:bCs/>
          <w:b/>
        </w:rPr>
        <w:t xml:space="preserve"> </w:t>
      </w:r>
      <w:r>
        <w:rPr>
          <w:iCs/>
          <w:i/>
          <w:bCs/>
          <w:b/>
        </w:rPr>
        <w:t xml:space="preserve">a</w:t>
      </w:r>
      <w:r>
        <w:rPr>
          <w:bCs/>
          <w:b/>
        </w:rPr>
        <w:t xml:space="preserve"> </w:t>
      </w:r>
      <w:r>
        <w:rPr>
          <w:bCs/>
          <w:b/>
        </w:rPr>
        <w:t xml:space="preserve">ratio (µg/µg)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Phycobiliprotein/Chl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8: Changes of effective absorption cross section of PSII (σPSII; nm2 quanta−1) measured at the dark period under Ex590 nm (orang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0" name="Picture"/>
            <a:graphic>
              <a:graphicData uri="http://schemas.openxmlformats.org/drawingml/2006/picture">
                <pic:pic>
                  <pic:nvPicPr>
                    <pic:cNvPr descr="../Output/Figures/SFig_SigmaPig590dark.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SigmaPig590dark"/>
      <w:bookmarkEnd w:id="52"/>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the ratio of sum of µg phycobilins (PE, PC, APC protein, Phycobiliprotein)/µg Chl</w:t>
      </w:r>
      <w:r>
        <w:rPr>
          <w:bCs/>
          <w:b/>
        </w:rPr>
        <w:t xml:space="preserve"> </w:t>
      </w:r>
      <w:r>
        <w:rPr>
          <w:iCs/>
          <w:i/>
          <w:bCs/>
          <w:b/>
        </w:rPr>
        <w:t xml:space="preserve">a</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9: Effective absorption cross section of PSII (σPSII‘; nm2 quanta−1) measured under diel peak PAR growth light under Ex445 nm (blue) excitation vs. cumulative diel PAR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4" name="Picture"/>
            <a:graphic>
              <a:graphicData uri="http://schemas.openxmlformats.org/drawingml/2006/picture">
                <pic:pic>
                  <pic:nvPicPr>
                    <pic:cNvPr descr="../Output/Figures/SFig_Sigma445.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Sigma445"/>
      <w:bookmarkEnd w:id="56"/>
      <w:r>
        <w:t xml:space="preserve">Figure 9:</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Changes of effective absorption cross section of PSII (σPSII‘; nm2 quanta−1) measured under diel peak PAR growth light under Ex445 nm (blu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8" name="Picture"/>
            <a:graphic>
              <a:graphicData uri="http://schemas.openxmlformats.org/drawingml/2006/picture">
                <pic:pic>
                  <pic:nvPicPr>
                    <pic:cNvPr descr="../Output/Figures/SFig_SigmaPig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Pig445"/>
      <w:bookmarkEnd w:id="60"/>
      <w:r>
        <w:t xml:space="preserve">Figure 10:</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the ratio of sum of µg phycobilins (PE, PC, APC protein, Phycobiliprotein)/µg Chl</w:t>
      </w:r>
      <w:r>
        <w:rPr>
          <w:bCs/>
          <w:b/>
        </w:rPr>
        <w:t xml:space="preserve"> </w:t>
      </w:r>
      <w:r>
        <w:rPr>
          <w:iCs/>
          <w:i/>
          <w:bCs/>
          <w:b/>
        </w:rPr>
        <w:t xml:space="preserve">a</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1: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1]. We also fit the same model separately for 600 together with 900 (orange) peak PAR µmol photons m−2s−1, when they were significantly different (ANOVA, p &lt; 0.05) from the fit of pooled data." title="" id="62" name="Picture"/>
            <a:graphic>
              <a:graphicData uri="http://schemas.openxmlformats.org/drawingml/2006/picture">
                <pic:pic>
                  <pic:nvPicPr>
                    <pic:cNvPr descr="../Output/Figures/SFig_GrowthRate_JVPSII_Light_Chla.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GrowthRateJVPSIILight"/>
      <w:bookmarkEnd w:id="64"/>
      <w:r>
        <w:t xml:space="preserve">Figure 11:</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[1]</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w:t>
      </w:r>
    </w:p>
    <w:p>
      <w:pPr>
        <w:pStyle w:val="TableCaption"/>
      </w:pPr>
      <w:bookmarkStart w:id="65" w:name="tab:unnamed-chunk-1"/>
      <w:bookmarkEnd w:id="65"/>
      <w:r>
        <w:t xml:space="preserve">Table 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6" w:name="tab:unnamed-chunk-2"/>
      <w:bookmarkEnd w:id="66"/>
      <w:r>
        <w:t xml:space="preserve">Table 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67" w:name="tab:unnamed-chunk-3"/>
      <w:bookmarkEnd w:id="67"/>
      <w:r>
        <w:t xml:space="preserve">Table 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68" w:name="tab:unnamed-chunk-4"/>
      <w:bookmarkEnd w:id="68"/>
      <w:r>
        <w:t xml:space="preserve">Table 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r>
        <w:t xml:space="preserve">Table S5: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r>
        <w:t xml:space="preserve">Table S8: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TableCaption"/>
      </w:pPr>
      <w:bookmarkStart w:id="69" w:name="tab:unnamed-chunk-5"/>
      <w:bookmarkEnd w:id="69"/>
      <w:r>
        <w:t xml:space="preserve">Table 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0" w:name="tab:unnamed-chunk-6"/>
      <w:bookmarkEnd w:id="70"/>
      <w:r>
        <w:t xml:space="preserve">Table 6:</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1" w:name="tab:unnamed-chunk-7"/>
      <w:bookmarkEnd w:id="71"/>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72" w:name="tab:unnamed-chunk-8"/>
      <w:bookmarkEnd w:id="72"/>
      <w:r>
        <w:t xml:space="preserve">Table 8:</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3" w:name="tab:unnamed-chunk-9"/>
      <w:bookmarkEnd w:id="73"/>
      <w:r>
        <w:t xml:space="preserve">Table 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74" w:name="tab:unnamed-chunk-10"/>
      <w:bookmarkEnd w:id="74"/>
      <w:r>
        <w:t xml:space="preserve">Table 10:</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r>
        <w:t xml:space="preserve">Table S15: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bookmarkStart w:id="76" w:name="refs"/>
    <w:bookmarkStart w:id="75" w:name="X2f3f2ef9f90eda6a1a18e84d8544e5d48a1f704"/>
    <w:p>
      <w:pPr>
        <w:pStyle w:val="Bibliography"/>
      </w:pPr>
      <w:r>
        <w:t xml:space="preserve">1.</w:t>
      </w:r>
      <w:r>
        <w:t xml:space="preserve"> </w:t>
      </w:r>
      <w:r>
        <w:t xml:space="preserve">	</w:t>
      </w:r>
      <w:r>
        <w:t xml:space="preserve">Harrison WG, Platt T. Photosynthesis-irradiance relationships in polar and temperate phytoplankton populations. Polar biology. 1986;5: 153–164.</w:t>
      </w:r>
      <w:r>
        <w:t xml:space="preserve"> </w:t>
      </w:r>
    </w:p>
    <w:bookmarkEnd w:id="75"/>
    <w:bookmarkEnd w:id="76"/>
    <w:bookmarkEnd w:id="77"/>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2024-04-19T16:04:48Z</dcterms:created>
  <dcterms:modified xsi:type="dcterms:W3CDTF">2024-04-19T16:04:48Z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